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567F24" w:rsidRDefault="00567F24" w:rsidP="00567F24">
      <w:pPr>
        <w:jc w:val="both"/>
        <w:rPr>
          <w:sz w:val="28"/>
        </w:rPr>
      </w:pPr>
      <w:r w:rsidRPr="00567F24">
        <w:rPr>
          <w:sz w:val="28"/>
        </w:rPr>
        <w:t>о</w:t>
      </w:r>
      <w:r w:rsidR="00A74D20" w:rsidRPr="00567F24">
        <w:rPr>
          <w:sz w:val="28"/>
        </w:rPr>
        <w:t>т</w:t>
      </w:r>
      <w:r w:rsidRPr="00567F24">
        <w:rPr>
          <w:sz w:val="28"/>
        </w:rPr>
        <w:t xml:space="preserve"> 26 марта 2019</w:t>
      </w:r>
      <w:r w:rsidR="00BC7A78" w:rsidRPr="00567F24">
        <w:rPr>
          <w:sz w:val="28"/>
        </w:rPr>
        <w:t xml:space="preserve"> года</w:t>
      </w:r>
      <w:r w:rsidRPr="00567F24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</w:t>
      </w:r>
      <w:r w:rsidR="00A74D20" w:rsidRPr="00567F24">
        <w:rPr>
          <w:sz w:val="28"/>
        </w:rPr>
        <w:t>№</w:t>
      </w:r>
      <w:r w:rsidRPr="00567F24">
        <w:rPr>
          <w:sz w:val="28"/>
        </w:rPr>
        <w:t xml:space="preserve"> 21.4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F140CE" w:rsidRDefault="00471EC2" w:rsidP="00F140CE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F140CE">
        <w:rPr>
          <w:b/>
          <w:sz w:val="28"/>
          <w:szCs w:val="28"/>
        </w:rPr>
        <w:t>муниципальному казенному учреждению «Спасательная служба Туапсинского района»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567F24">
        <w:rPr>
          <w:sz w:val="28"/>
          <w:szCs w:val="28"/>
        </w:rPr>
        <w:t xml:space="preserve"> </w:t>
      </w:r>
      <w:r w:rsidR="00CB527C">
        <w:rPr>
          <w:sz w:val="28"/>
          <w:szCs w:val="28"/>
        </w:rPr>
        <w:t>начальника муниципального казенного учреждения «Спасательная служба Туапсинского района» Истомина Владимира Валентиновича</w:t>
      </w:r>
      <w:r w:rsidR="00EB77A9" w:rsidRPr="00777780">
        <w:rPr>
          <w:sz w:val="28"/>
          <w:szCs w:val="28"/>
        </w:rPr>
        <w:t>о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CB527C">
        <w:rPr>
          <w:sz w:val="28"/>
          <w:szCs w:val="28"/>
        </w:rPr>
        <w:t>муниципальному казенному учреждению «Спасательная служба Туапсинского района»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CA6B35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CB527C">
        <w:rPr>
          <w:szCs w:val="28"/>
        </w:rPr>
        <w:t xml:space="preserve">муниципальному казенному учреждению «Спасательная служба Туапсинского района» </w:t>
      </w:r>
      <w:r w:rsidR="00CA6B35" w:rsidRPr="00777780">
        <w:rPr>
          <w:szCs w:val="28"/>
        </w:rPr>
        <w:t>сроком</w:t>
      </w:r>
      <w:r w:rsidR="00567F24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CA6B35">
        <w:rPr>
          <w:szCs w:val="28"/>
        </w:rPr>
        <w:t xml:space="preserve">пять лет </w:t>
      </w:r>
      <w:r w:rsidR="00CA6B35" w:rsidRPr="00EB3939">
        <w:rPr>
          <w:szCs w:val="28"/>
        </w:rPr>
        <w:t>объект</w:t>
      </w:r>
      <w:r w:rsidR="00615AF1">
        <w:rPr>
          <w:szCs w:val="28"/>
        </w:rPr>
        <w:t>ов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615AF1">
        <w:rPr>
          <w:szCs w:val="28"/>
        </w:rPr>
        <w:t>их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 xml:space="preserve">, </w:t>
      </w:r>
      <w:r w:rsidR="00615AF1">
        <w:rPr>
          <w:szCs w:val="28"/>
        </w:rPr>
        <w:t xml:space="preserve">для осуществления полномочий по созданию, содержанию и организации </w:t>
      </w:r>
      <w:r w:rsidR="00615AF1">
        <w:rPr>
          <w:szCs w:val="28"/>
        </w:rPr>
        <w:lastRenderedPageBreak/>
        <w:t>деятельности аварийно-спасательных служб, по обеспечению безопасности людей на водных объектах, охране их жизни и здоровья, согласно приложению к настоящему решению.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</w:t>
      </w:r>
      <w:r w:rsidR="00567F24">
        <w:rPr>
          <w:sz w:val="28"/>
          <w:szCs w:val="28"/>
        </w:rPr>
        <w:t xml:space="preserve">               </w:t>
      </w:r>
      <w:r w:rsidR="00B03F3B">
        <w:rPr>
          <w:sz w:val="28"/>
          <w:szCs w:val="28"/>
        </w:rPr>
        <w:t xml:space="preserve">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D20AE" w:rsidRDefault="001D20AE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DC1858" w:rsidRDefault="00DC1858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15AF1" w:rsidRDefault="00615AF1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15AF1" w:rsidRDefault="00615AF1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15AF1" w:rsidRDefault="00615AF1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15AF1" w:rsidRPr="00C64A48" w:rsidRDefault="00615AF1" w:rsidP="00615AF1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Приложение</w:t>
      </w:r>
    </w:p>
    <w:p w:rsidR="00615AF1" w:rsidRPr="00C64A48" w:rsidRDefault="00615AF1" w:rsidP="00615AF1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к решению Совета Туапсинского городского поселения</w:t>
      </w:r>
    </w:p>
    <w:p w:rsidR="00615AF1" w:rsidRDefault="00615AF1" w:rsidP="00615AF1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 xml:space="preserve">Туапсинского района </w:t>
      </w:r>
    </w:p>
    <w:p w:rsidR="00615AF1" w:rsidRDefault="00567F24" w:rsidP="00615AF1">
      <w:pPr>
        <w:pStyle w:val="ConsPlusTitle"/>
        <w:widowControl/>
        <w:ind w:left="5812"/>
        <w:outlineLvl w:val="0"/>
        <w:rPr>
          <w:b w:val="0"/>
        </w:rPr>
      </w:pPr>
      <w:r>
        <w:rPr>
          <w:b w:val="0"/>
        </w:rPr>
        <w:t>О</w:t>
      </w:r>
      <w:r w:rsidR="00615AF1">
        <w:rPr>
          <w:b w:val="0"/>
        </w:rPr>
        <w:t>т</w:t>
      </w:r>
      <w:r>
        <w:rPr>
          <w:b w:val="0"/>
        </w:rPr>
        <w:t xml:space="preserve"> 26.03.2019 № 21.4</w:t>
      </w:r>
    </w:p>
    <w:p w:rsidR="00615AF1" w:rsidRDefault="00615AF1" w:rsidP="00615AF1">
      <w:pPr>
        <w:pStyle w:val="ConsPlusTitle"/>
        <w:widowControl/>
        <w:ind w:left="5812"/>
        <w:outlineLvl w:val="0"/>
        <w:rPr>
          <w:b w:val="0"/>
        </w:rPr>
      </w:pPr>
    </w:p>
    <w:p w:rsidR="00615AF1" w:rsidRDefault="00615AF1" w:rsidP="00615AF1">
      <w:pPr>
        <w:pStyle w:val="ConsPlusTitle"/>
        <w:widowControl/>
        <w:ind w:firstLine="567"/>
        <w:outlineLvl w:val="0"/>
        <w:rPr>
          <w:b w:val="0"/>
        </w:rPr>
      </w:pPr>
    </w:p>
    <w:p w:rsidR="00615AF1" w:rsidRPr="00DF622E" w:rsidRDefault="00615AF1" w:rsidP="00615AF1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  <w:r w:rsidRPr="00DF622E">
        <w:rPr>
          <w:b w:val="0"/>
          <w:sz w:val="28"/>
          <w:szCs w:val="28"/>
        </w:rPr>
        <w:t xml:space="preserve">ПЕРЕЧЕНЬ </w:t>
      </w:r>
    </w:p>
    <w:p w:rsidR="00615AF1" w:rsidRDefault="00615AF1" w:rsidP="00615AF1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  <w:r w:rsidRPr="00DF622E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не</w:t>
      </w:r>
      <w:r w:rsidRPr="00DF622E">
        <w:rPr>
          <w:b w:val="0"/>
          <w:sz w:val="28"/>
          <w:szCs w:val="28"/>
        </w:rPr>
        <w:t>движимого имущества, подлежащего передаче в безвозмездное временное пользование</w:t>
      </w:r>
    </w:p>
    <w:p w:rsidR="00615AF1" w:rsidRPr="00DF622E" w:rsidRDefault="00615AF1" w:rsidP="00615AF1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</w:p>
    <w:p w:rsidR="00615AF1" w:rsidRDefault="00615AF1" w:rsidP="00615AF1">
      <w:pPr>
        <w:pStyle w:val="ConsPlusTitle"/>
        <w:widowControl/>
        <w:ind w:firstLine="567"/>
        <w:jc w:val="center"/>
        <w:outlineLvl w:val="0"/>
        <w:rPr>
          <w:b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268"/>
        <w:gridCol w:w="1701"/>
        <w:gridCol w:w="1134"/>
        <w:gridCol w:w="1559"/>
      </w:tblGrid>
      <w:tr w:rsidR="00EF3813" w:rsidRPr="00084CB0" w:rsidTr="002B3315">
        <w:tc>
          <w:tcPr>
            <w:tcW w:w="675" w:type="dxa"/>
          </w:tcPr>
          <w:p w:rsidR="00615AF1" w:rsidRDefault="00615AF1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615AF1" w:rsidRPr="00615AF1" w:rsidRDefault="00615AF1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615AF1" w:rsidRPr="00615AF1" w:rsidRDefault="00615AF1" w:rsidP="00615AF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15AF1">
              <w:rPr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b w:val="0"/>
                <w:sz w:val="28"/>
                <w:szCs w:val="28"/>
              </w:rPr>
              <w:t>объекта</w:t>
            </w:r>
          </w:p>
        </w:tc>
        <w:tc>
          <w:tcPr>
            <w:tcW w:w="2268" w:type="dxa"/>
          </w:tcPr>
          <w:p w:rsidR="00615AF1" w:rsidRPr="00615AF1" w:rsidRDefault="00615AF1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</w:tcPr>
          <w:p w:rsidR="00615AF1" w:rsidRPr="00615AF1" w:rsidRDefault="00615AF1" w:rsidP="00615AF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объекта</w:t>
            </w:r>
          </w:p>
        </w:tc>
        <w:tc>
          <w:tcPr>
            <w:tcW w:w="1134" w:type="dxa"/>
          </w:tcPr>
          <w:p w:rsidR="00615AF1" w:rsidRPr="00615AF1" w:rsidRDefault="00615AF1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Этажность</w:t>
            </w:r>
          </w:p>
        </w:tc>
        <w:tc>
          <w:tcPr>
            <w:tcW w:w="1559" w:type="dxa"/>
          </w:tcPr>
          <w:p w:rsidR="00615AF1" w:rsidRPr="00615AF1" w:rsidRDefault="00615AF1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Площадь</w:t>
            </w:r>
          </w:p>
        </w:tc>
      </w:tr>
      <w:tr w:rsidR="00EF3813" w:rsidRPr="00084CB0" w:rsidTr="002B3315">
        <w:tc>
          <w:tcPr>
            <w:tcW w:w="675" w:type="dxa"/>
          </w:tcPr>
          <w:p w:rsidR="00615AF1" w:rsidRPr="00615AF1" w:rsidRDefault="00615AF1" w:rsidP="00D81654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15AF1" w:rsidRDefault="002B3315" w:rsidP="00D81654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Нежилые помещения №1-10, 12</w:t>
            </w:r>
            <w:r w:rsidR="00647460">
              <w:rPr>
                <w:b w:val="0"/>
                <w:sz w:val="28"/>
                <w:szCs w:val="28"/>
              </w:rPr>
              <w:t xml:space="preserve">, расположенные в </w:t>
            </w:r>
            <w:r>
              <w:rPr>
                <w:b w:val="0"/>
                <w:sz w:val="28"/>
                <w:szCs w:val="28"/>
              </w:rPr>
              <w:t xml:space="preserve"> здани</w:t>
            </w:r>
            <w:r w:rsidR="00647460">
              <w:rPr>
                <w:b w:val="0"/>
                <w:sz w:val="28"/>
                <w:szCs w:val="28"/>
              </w:rPr>
              <w:t>и</w:t>
            </w:r>
            <w:r w:rsidR="00615AF1">
              <w:rPr>
                <w:b w:val="0"/>
                <w:sz w:val="28"/>
                <w:szCs w:val="28"/>
              </w:rPr>
              <w:t xml:space="preserve"> спасательной станции</w:t>
            </w:r>
          </w:p>
          <w:p w:rsidR="00615AF1" w:rsidRPr="00615AF1" w:rsidRDefault="00615AF1" w:rsidP="00D81654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Литер А, А1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15AF1" w:rsidRPr="00615AF1" w:rsidRDefault="00615AF1" w:rsidP="00615AF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г.Туапсе, ул.Гагарина, 39</w:t>
            </w:r>
          </w:p>
        </w:tc>
        <w:tc>
          <w:tcPr>
            <w:tcW w:w="1701" w:type="dxa"/>
          </w:tcPr>
          <w:p w:rsidR="00615AF1" w:rsidRPr="00615AF1" w:rsidRDefault="002B3315" w:rsidP="002B3315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нежилые помещения</w:t>
            </w:r>
          </w:p>
        </w:tc>
        <w:tc>
          <w:tcPr>
            <w:tcW w:w="1134" w:type="dxa"/>
          </w:tcPr>
          <w:p w:rsidR="00615AF1" w:rsidRPr="00615AF1" w:rsidRDefault="00615AF1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5AF1" w:rsidRPr="00615AF1" w:rsidRDefault="002B3315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94,1</w:t>
            </w:r>
          </w:p>
        </w:tc>
      </w:tr>
      <w:tr w:rsidR="00EF3813" w:rsidRPr="00084CB0" w:rsidTr="002B3315">
        <w:tc>
          <w:tcPr>
            <w:tcW w:w="675" w:type="dxa"/>
          </w:tcPr>
          <w:p w:rsidR="00615AF1" w:rsidRPr="00615AF1" w:rsidRDefault="00615AF1" w:rsidP="00D81654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15AF1" w:rsidRDefault="00615AF1" w:rsidP="00D81654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Склад</w:t>
            </w:r>
          </w:p>
          <w:p w:rsidR="00615AF1" w:rsidRPr="00615AF1" w:rsidRDefault="00615AF1" w:rsidP="00D81654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Литер Г</w:t>
            </w:r>
          </w:p>
        </w:tc>
        <w:tc>
          <w:tcPr>
            <w:tcW w:w="2268" w:type="dxa"/>
          </w:tcPr>
          <w:p w:rsidR="00615AF1" w:rsidRPr="00615AF1" w:rsidRDefault="00615AF1" w:rsidP="00615AF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г.Туапсе, ул.Гагарина, 39</w:t>
            </w:r>
          </w:p>
        </w:tc>
        <w:tc>
          <w:tcPr>
            <w:tcW w:w="1701" w:type="dxa"/>
          </w:tcPr>
          <w:p w:rsidR="00615AF1" w:rsidRPr="00615AF1" w:rsidRDefault="00615AF1">
            <w:r w:rsidRPr="00615AF1">
              <w:rPr>
                <w:sz w:val="28"/>
                <w:szCs w:val="28"/>
              </w:rPr>
              <w:t>здание</w:t>
            </w:r>
          </w:p>
        </w:tc>
        <w:tc>
          <w:tcPr>
            <w:tcW w:w="1134" w:type="dxa"/>
          </w:tcPr>
          <w:p w:rsidR="00615AF1" w:rsidRPr="00615AF1" w:rsidRDefault="00615AF1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5AF1" w:rsidRPr="00615AF1" w:rsidRDefault="00615AF1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12,9</w:t>
            </w:r>
          </w:p>
        </w:tc>
      </w:tr>
      <w:tr w:rsidR="00EF3813" w:rsidRPr="00084CB0" w:rsidTr="002B3315">
        <w:tc>
          <w:tcPr>
            <w:tcW w:w="675" w:type="dxa"/>
          </w:tcPr>
          <w:p w:rsidR="00615AF1" w:rsidRPr="00615AF1" w:rsidRDefault="00615AF1" w:rsidP="00D81654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15AF1" w:rsidRDefault="00615AF1" w:rsidP="00D81654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Сарай для хранения катеров и хоз.имущества</w:t>
            </w:r>
          </w:p>
          <w:p w:rsidR="00615AF1" w:rsidRPr="00615AF1" w:rsidRDefault="00615AF1" w:rsidP="00D81654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Литер Д, Д1 ,Д2, Д3</w:t>
            </w:r>
          </w:p>
        </w:tc>
        <w:tc>
          <w:tcPr>
            <w:tcW w:w="2268" w:type="dxa"/>
          </w:tcPr>
          <w:p w:rsidR="00615AF1" w:rsidRPr="00615AF1" w:rsidRDefault="00615AF1" w:rsidP="00615AF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г.Туапсе, ул.Гагарина, 39</w:t>
            </w:r>
          </w:p>
        </w:tc>
        <w:tc>
          <w:tcPr>
            <w:tcW w:w="1701" w:type="dxa"/>
          </w:tcPr>
          <w:p w:rsidR="00615AF1" w:rsidRPr="00615AF1" w:rsidRDefault="00615AF1">
            <w:r w:rsidRPr="00615AF1">
              <w:rPr>
                <w:sz w:val="28"/>
                <w:szCs w:val="28"/>
              </w:rPr>
              <w:t>здание</w:t>
            </w:r>
          </w:p>
        </w:tc>
        <w:tc>
          <w:tcPr>
            <w:tcW w:w="1134" w:type="dxa"/>
          </w:tcPr>
          <w:p w:rsidR="00615AF1" w:rsidRPr="00615AF1" w:rsidRDefault="00615AF1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5AF1" w:rsidRPr="00615AF1" w:rsidRDefault="00615AF1" w:rsidP="00D81654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331,8</w:t>
            </w:r>
          </w:p>
        </w:tc>
      </w:tr>
    </w:tbl>
    <w:p w:rsidR="00615AF1" w:rsidRPr="00C64A48" w:rsidRDefault="00615AF1" w:rsidP="00615AF1">
      <w:pPr>
        <w:pStyle w:val="ConsPlusTitle"/>
        <w:widowControl/>
        <w:ind w:firstLine="567"/>
        <w:jc w:val="center"/>
        <w:outlineLvl w:val="0"/>
        <w:rPr>
          <w:b w:val="0"/>
        </w:rPr>
      </w:pPr>
    </w:p>
    <w:p w:rsidR="00EF3813" w:rsidRDefault="00EF3813" w:rsidP="00615AF1">
      <w:pPr>
        <w:outlineLvl w:val="0"/>
        <w:rPr>
          <w:sz w:val="28"/>
          <w:szCs w:val="28"/>
        </w:rPr>
      </w:pPr>
    </w:p>
    <w:p w:rsidR="00EF3813" w:rsidRDefault="00EF3813" w:rsidP="00615AF1">
      <w:pPr>
        <w:outlineLvl w:val="0"/>
        <w:rPr>
          <w:sz w:val="28"/>
          <w:szCs w:val="28"/>
        </w:rPr>
      </w:pPr>
    </w:p>
    <w:p w:rsidR="00615AF1" w:rsidRDefault="00615AF1" w:rsidP="00615AF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615AF1" w:rsidRDefault="00615AF1" w:rsidP="00615AF1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                                           М.А. Винтер</w:t>
      </w:r>
    </w:p>
    <w:p w:rsidR="00615AF1" w:rsidRDefault="00615AF1" w:rsidP="00615AF1">
      <w:pPr>
        <w:jc w:val="center"/>
        <w:outlineLvl w:val="0"/>
        <w:rPr>
          <w:sz w:val="28"/>
          <w:szCs w:val="28"/>
        </w:rPr>
      </w:pPr>
    </w:p>
    <w:p w:rsidR="00615AF1" w:rsidRDefault="00615AF1" w:rsidP="00615AF1">
      <w:pPr>
        <w:jc w:val="center"/>
        <w:outlineLvl w:val="0"/>
        <w:rPr>
          <w:sz w:val="28"/>
          <w:szCs w:val="28"/>
        </w:rPr>
      </w:pPr>
    </w:p>
    <w:p w:rsidR="00615AF1" w:rsidRDefault="00615AF1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EF3813" w:rsidRDefault="00EF381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EF3813" w:rsidRDefault="00EF381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EF3813" w:rsidRDefault="00EF381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EF3813" w:rsidRDefault="00EF381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EF3813" w:rsidRDefault="00EF381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EF3813" w:rsidRDefault="00EF381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EF3813" w:rsidRDefault="00EF381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EF3813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99" w:rsidRDefault="00B46499">
      <w:r>
        <w:separator/>
      </w:r>
    </w:p>
  </w:endnote>
  <w:endnote w:type="continuationSeparator" w:id="1">
    <w:p w:rsidR="00B46499" w:rsidRDefault="00B4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99" w:rsidRDefault="00B46499">
      <w:r>
        <w:separator/>
      </w:r>
    </w:p>
  </w:footnote>
  <w:footnote w:type="continuationSeparator" w:id="1">
    <w:p w:rsidR="00B46499" w:rsidRDefault="00B46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B57792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B57792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567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B3315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67F24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5AF1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460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860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499"/>
    <w:rsid w:val="00B46705"/>
    <w:rsid w:val="00B507B5"/>
    <w:rsid w:val="00B51333"/>
    <w:rsid w:val="00B53363"/>
    <w:rsid w:val="00B56C38"/>
    <w:rsid w:val="00B57792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A0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7D2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27C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3813"/>
    <w:rsid w:val="00EF4FF7"/>
    <w:rsid w:val="00EF5C6A"/>
    <w:rsid w:val="00F00A21"/>
    <w:rsid w:val="00F02A0F"/>
    <w:rsid w:val="00F0412E"/>
    <w:rsid w:val="00F052BA"/>
    <w:rsid w:val="00F10943"/>
    <w:rsid w:val="00F140CE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ConsPlusTitle">
    <w:name w:val="ConsPlusTitle"/>
    <w:rsid w:val="00615A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ConsPlusTitle">
    <w:name w:val="ConsPlusTitle"/>
    <w:rsid w:val="00615A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90FD-F881-4605-9635-0430A2C0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4</cp:revision>
  <cp:lastPrinted>2019-03-13T08:17:00Z</cp:lastPrinted>
  <dcterms:created xsi:type="dcterms:W3CDTF">2019-02-25T13:30:00Z</dcterms:created>
  <dcterms:modified xsi:type="dcterms:W3CDTF">2019-03-26T10:13:00Z</dcterms:modified>
</cp:coreProperties>
</file>