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9A" w:rsidRDefault="00A35209" w:rsidP="00DD009A">
      <w:pPr>
        <w:spacing w:after="0" w:line="240" w:lineRule="auto"/>
        <w:jc w:val="center"/>
        <w:rPr>
          <w:rFonts w:ascii="Times New Roman" w:hAnsi="Times New Roman" w:cs="Times New Roman"/>
        </w:rPr>
      </w:pPr>
      <w:r>
        <w:rPr>
          <w:rFonts w:ascii="Times New Roman" w:eastAsia="Times New Roman" w:hAnsi="Times New Roman" w:cs="Times New Roman"/>
          <w:b/>
          <w:bCs/>
          <w:noProof/>
          <w:sz w:val="24"/>
          <w:szCs w:val="24"/>
          <w:lang w:eastAsia="ru-RU"/>
        </w:rPr>
        <w:drawing>
          <wp:inline distT="0" distB="0" distL="0" distR="0" wp14:anchorId="27D2D105" wp14:editId="5DA96755">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DD009A" w:rsidRDefault="00DD009A" w:rsidP="00DD009A">
      <w:pPr>
        <w:spacing w:after="0" w:line="240" w:lineRule="auto"/>
        <w:rPr>
          <w:rFonts w:ascii="Times New Roman" w:hAnsi="Times New Roman" w:cs="Times New Roman"/>
          <w:sz w:val="16"/>
          <w:szCs w:val="16"/>
        </w:rPr>
      </w:pPr>
    </w:p>
    <w:p w:rsidR="00DD009A" w:rsidRDefault="00DD009A" w:rsidP="00DD009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DD009A" w:rsidRDefault="00DD009A" w:rsidP="00DD00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ТУАПСИНСКОГО ГОРОДСКОГО ПОСЕЛЕНИЯ</w:t>
      </w:r>
    </w:p>
    <w:p w:rsidR="00DD009A" w:rsidRDefault="00DD009A" w:rsidP="00DD00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ТУАПСИНСКОГО РАЙОНА</w:t>
      </w:r>
    </w:p>
    <w:p w:rsidR="00DD009A" w:rsidRDefault="00DD009A" w:rsidP="00DD009A">
      <w:pPr>
        <w:spacing w:after="0" w:line="240" w:lineRule="auto"/>
        <w:jc w:val="center"/>
        <w:rPr>
          <w:rFonts w:ascii="Times New Roman" w:hAnsi="Times New Roman" w:cs="Times New Roman"/>
          <w:b/>
          <w:sz w:val="6"/>
          <w:szCs w:val="6"/>
        </w:rPr>
      </w:pPr>
    </w:p>
    <w:p w:rsidR="00DD009A" w:rsidRDefault="00DD009A" w:rsidP="00DD009A">
      <w:pPr>
        <w:spacing w:after="0" w:line="240" w:lineRule="auto"/>
        <w:rPr>
          <w:rFonts w:ascii="Times New Roman" w:hAnsi="Times New Roman" w:cs="Times New Roman"/>
          <w:b/>
          <w:sz w:val="16"/>
          <w:szCs w:val="16"/>
        </w:rPr>
      </w:pPr>
    </w:p>
    <w:p w:rsidR="00DD009A" w:rsidRPr="00DD009A" w:rsidRDefault="00DD009A" w:rsidP="00DD009A">
      <w:pPr>
        <w:spacing w:after="0" w:line="240" w:lineRule="auto"/>
        <w:jc w:val="center"/>
        <w:rPr>
          <w:rFonts w:ascii="Times New Roman" w:hAnsi="Times New Roman" w:cs="Times New Roman"/>
          <w:sz w:val="28"/>
          <w:szCs w:val="28"/>
        </w:rPr>
      </w:pPr>
      <w:r w:rsidRPr="00DD009A">
        <w:rPr>
          <w:rFonts w:ascii="Times New Roman" w:hAnsi="Times New Roman" w:cs="Times New Roman"/>
          <w:sz w:val="28"/>
          <w:szCs w:val="28"/>
        </w:rPr>
        <w:t xml:space="preserve">от </w:t>
      </w:r>
      <w:r w:rsidRPr="00DD009A">
        <w:rPr>
          <w:rFonts w:ascii="Times New Roman" w:hAnsi="Times New Roman" w:cs="Times New Roman"/>
          <w:sz w:val="28"/>
          <w:szCs w:val="28"/>
        </w:rPr>
        <w:t>10.11.2021</w:t>
      </w:r>
      <w:r w:rsidRPr="00DD009A">
        <w:rPr>
          <w:rFonts w:ascii="Times New Roman" w:hAnsi="Times New Roman" w:cs="Times New Roman"/>
          <w:sz w:val="28"/>
          <w:szCs w:val="28"/>
        </w:rPr>
        <w:t xml:space="preserve">                                                                            </w:t>
      </w:r>
      <w:r w:rsidRPr="00DD009A">
        <w:rPr>
          <w:rFonts w:ascii="Times New Roman" w:hAnsi="Times New Roman" w:cs="Times New Roman"/>
          <w:sz w:val="28"/>
          <w:szCs w:val="28"/>
        </w:rPr>
        <w:t xml:space="preserve">                 </w:t>
      </w:r>
      <w:r w:rsidRPr="00DD009A">
        <w:rPr>
          <w:rFonts w:ascii="Times New Roman" w:hAnsi="Times New Roman" w:cs="Times New Roman"/>
          <w:sz w:val="28"/>
          <w:szCs w:val="28"/>
        </w:rPr>
        <w:t xml:space="preserve"> №</w:t>
      </w:r>
      <w:r w:rsidRPr="00DD009A">
        <w:rPr>
          <w:rFonts w:ascii="Times New Roman" w:hAnsi="Times New Roman" w:cs="Times New Roman"/>
          <w:sz w:val="28"/>
          <w:szCs w:val="28"/>
        </w:rPr>
        <w:t xml:space="preserve"> 989</w:t>
      </w:r>
    </w:p>
    <w:p w:rsidR="00DD009A" w:rsidRDefault="00DD009A" w:rsidP="00DD0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Туапсе</w:t>
      </w:r>
    </w:p>
    <w:p w:rsidR="00DD009A" w:rsidRDefault="00DD009A" w:rsidP="00DD009A">
      <w:pPr>
        <w:spacing w:after="0" w:line="240" w:lineRule="auto"/>
        <w:jc w:val="center"/>
        <w:rPr>
          <w:rFonts w:ascii="Times New Roman" w:hAnsi="Times New Roman" w:cs="Times New Roman"/>
          <w:sz w:val="28"/>
          <w:szCs w:val="28"/>
        </w:rPr>
      </w:pPr>
    </w:p>
    <w:p w:rsidR="00DD009A" w:rsidRDefault="00DD009A" w:rsidP="00DD009A">
      <w:pPr>
        <w:spacing w:after="0" w:line="240" w:lineRule="auto"/>
        <w:jc w:val="center"/>
        <w:rPr>
          <w:rFonts w:ascii="Times New Roman" w:hAnsi="Times New Roman" w:cs="Times New Roman"/>
          <w:sz w:val="28"/>
          <w:szCs w:val="28"/>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D009A" w:rsidTr="00DD009A">
        <w:trPr>
          <w:trHeight w:val="1316"/>
        </w:trPr>
        <w:tc>
          <w:tcPr>
            <w:tcW w:w="9072" w:type="dxa"/>
            <w:hideMark/>
          </w:tcPr>
          <w:p w:rsidR="00DD009A" w:rsidRDefault="00DD009A">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установлении размера вреда и порядка расчета размера вреда, </w:t>
            </w:r>
          </w:p>
          <w:p w:rsidR="00DD009A" w:rsidRDefault="00DD009A">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причиняемого тяжеловесными транспортными</w:t>
            </w:r>
          </w:p>
          <w:p w:rsidR="00DD009A" w:rsidRDefault="00DD009A">
            <w:pPr>
              <w:pStyle w:val="ConsPlusTitle"/>
              <w:rPr>
                <w:lang w:eastAsia="en-US"/>
              </w:rPr>
            </w:pPr>
            <w:r>
              <w:rPr>
                <w:rFonts w:ascii="Times New Roman" w:hAnsi="Times New Roman" w:cs="Times New Roman"/>
                <w:sz w:val="28"/>
                <w:szCs w:val="28"/>
                <w:lang w:eastAsia="en-US"/>
              </w:rPr>
              <w:t>средствами при движении по автомобильным дорогам местного значения Туапсинского городского поселения Туапсинского района</w:t>
            </w:r>
          </w:p>
        </w:tc>
      </w:tr>
    </w:tbl>
    <w:p w:rsidR="00DD009A" w:rsidRDefault="00DD009A" w:rsidP="00DD009A">
      <w:pPr>
        <w:pStyle w:val="ConsPlusNormal"/>
        <w:ind w:firstLine="709"/>
        <w:jc w:val="both"/>
        <w:rPr>
          <w:rFonts w:ascii="Times New Roman" w:hAnsi="Times New Roman" w:cs="Times New Roman"/>
          <w:sz w:val="28"/>
          <w:szCs w:val="28"/>
        </w:rPr>
      </w:pPr>
    </w:p>
    <w:p w:rsidR="00DD009A" w:rsidRDefault="00DD009A" w:rsidP="00DD009A">
      <w:pPr>
        <w:pStyle w:val="ConsPlusNormal"/>
        <w:ind w:firstLine="709"/>
        <w:jc w:val="both"/>
        <w:rPr>
          <w:rFonts w:ascii="Times New Roman" w:hAnsi="Times New Roman" w:cs="Times New Roman"/>
          <w:sz w:val="28"/>
          <w:szCs w:val="28"/>
        </w:rPr>
      </w:pPr>
    </w:p>
    <w:p w:rsidR="00DD009A" w:rsidRDefault="00DD009A" w:rsidP="00DD00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6" w:history="1">
        <w:r>
          <w:rPr>
            <w:rStyle w:val="a4"/>
            <w:rFonts w:ascii="Times New Roman" w:hAnsi="Times New Roman" w:cs="Times New Roman"/>
            <w:color w:val="auto"/>
            <w:sz w:val="28"/>
            <w:szCs w:val="28"/>
            <w:u w:val="none"/>
          </w:rPr>
          <w:t>законом</w:t>
        </w:r>
      </w:hyperlink>
      <w:r>
        <w:t xml:space="preserve"> </w:t>
      </w:r>
      <w:r>
        <w:rPr>
          <w:rFonts w:ascii="Times New Roman" w:hAnsi="Times New Roman" w:cs="Times New Roman"/>
          <w:sz w:val="28"/>
          <w:szCs w:val="28"/>
        </w:rPr>
        <w:t xml:space="preserve">  от  6  октября  2003   года </w:t>
      </w:r>
    </w:p>
    <w:p w:rsidR="00DD009A" w:rsidRDefault="00DD009A" w:rsidP="00DD009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7" w:history="1">
        <w:r>
          <w:rPr>
            <w:rStyle w:val="a4"/>
            <w:rFonts w:ascii="Times New Roman" w:hAnsi="Times New Roman" w:cs="Times New Roman"/>
            <w:color w:val="auto"/>
            <w:sz w:val="28"/>
            <w:szCs w:val="28"/>
            <w:u w:val="none"/>
          </w:rPr>
          <w:t>подпунктом 7 пункта 1 статьи 13</w:t>
        </w:r>
      </w:hyperlink>
      <w:r>
        <w:rPr>
          <w:rFonts w:ascii="Times New Roman" w:hAnsi="Times New Roman" w:cs="Times New Roman"/>
          <w:sz w:val="28"/>
          <w:szCs w:val="28"/>
        </w:rPr>
        <w:t xml:space="preserve"> Федерального закона от 8 ноября 2007 года № 257-ФЗ «</w:t>
      </w:r>
      <w:r>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hyperlink r:id="rId8" w:history="1">
        <w:r>
          <w:rPr>
            <w:rStyle w:val="a4"/>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31 января 2020 года № 67 «Об утверждении правил возмещения о вреда</w:t>
      </w:r>
      <w:proofErr w:type="gramEnd"/>
      <w:r>
        <w:rPr>
          <w:rFonts w:ascii="Times New Roman" w:hAnsi="Times New Roman" w:cs="Times New Roman"/>
          <w:sz w:val="28"/>
          <w:szCs w:val="28"/>
        </w:rPr>
        <w:t xml:space="preserve">, причиняемого тяжеловесными транспортными средствами, об изменении и признании утратившими силу некоторых актов Правительства Российской Федерации», руководствуясь </w:t>
      </w:r>
      <w:hyperlink r:id="rId9" w:history="1">
        <w:r>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Туапсинского    городского    поселения    Туапсинского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DD009A" w:rsidRDefault="00DD009A" w:rsidP="00DD009A">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Установить размер вреда и порядок расчета размера вреда,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 в соответствии с </w:t>
      </w:r>
      <w:hyperlink r:id="rId10" w:history="1">
        <w:r>
          <w:rPr>
            <w:rStyle w:val="a4"/>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31 января 2020 года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p>
    <w:p w:rsidR="00DD009A" w:rsidRDefault="00DD009A" w:rsidP="00DD009A">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2. Установить исходное значение размера вреда,  причиняемого тяжеловесными транспортными средствами, при движении по автомобильным дорогам местного значения Туапсинского городского    поселения    Туапсинского    района,  при превышении допустимых нагрузок на ось транспортного средства для автомобильной дороги и постоянные коэффициенты, согласно приложению к настоящему постановлению.</w:t>
      </w:r>
    </w:p>
    <w:p w:rsidR="00FE1E91" w:rsidRDefault="00FE1E91" w:rsidP="00DD009A">
      <w:pPr>
        <w:pStyle w:val="ConsPlusNormal"/>
        <w:spacing w:line="20" w:lineRule="atLeast"/>
        <w:ind w:firstLine="709"/>
        <w:jc w:val="both"/>
        <w:rPr>
          <w:rFonts w:ascii="Times New Roman" w:hAnsi="Times New Roman" w:cs="Times New Roman"/>
          <w:sz w:val="28"/>
          <w:szCs w:val="28"/>
        </w:rPr>
      </w:pPr>
      <w:bookmarkStart w:id="0" w:name="_GoBack"/>
      <w:bookmarkEnd w:id="0"/>
    </w:p>
    <w:p w:rsidR="00DD009A" w:rsidRDefault="00DD009A" w:rsidP="00DD009A">
      <w:pPr>
        <w:pStyle w:val="ConsPlusNormal"/>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Определить отдел жилищно – коммунального хозяйства администрации Туапсинского</w:t>
      </w:r>
      <w:r>
        <w:rPr>
          <w:rFonts w:ascii="Times New Roman" w:hAnsi="Times New Roman" w:cs="Times New Roman"/>
          <w:b/>
          <w:sz w:val="28"/>
          <w:szCs w:val="28"/>
        </w:rPr>
        <w:t xml:space="preserve"> </w:t>
      </w:r>
      <w:r>
        <w:rPr>
          <w:rFonts w:ascii="Times New Roman" w:hAnsi="Times New Roman" w:cs="Times New Roman"/>
          <w:sz w:val="28"/>
          <w:szCs w:val="28"/>
        </w:rPr>
        <w:t>городского поселения Туапсинского района, уполномоченным органом, к функциям которого отнесены расчет, начисление и взимание платы за возмещение вреда, причиняемого тяжеловесными транспортными средствами при движении по автомобильным дорогам местного значения.</w:t>
      </w:r>
    </w:p>
    <w:p w:rsidR="00DD009A" w:rsidRDefault="00DD009A" w:rsidP="00DD009A">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Признать утратившими силу постановление администрации Туапсинского городского поселения Туапсинского района от 07 июля 2016 года № 1054 «Об определении размера вреда, причиняемого тяжеловесными транспортными средствами при движении по автомобильным дорогам   местного значения в границах Туапсинского городского поселения Туапсинского района».</w:t>
      </w:r>
      <w:proofErr w:type="gramEnd"/>
    </w:p>
    <w:p w:rsidR="00DD009A" w:rsidRDefault="00DD009A" w:rsidP="00DD009A">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5. Общему отделу администрации Туапсинского городского поселения  Туапсинского района (Кот А.И.) обнародовать настоящее постановление.</w:t>
      </w: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6. Отделу жилищно-коммунального хозяйства (</w:t>
      </w:r>
      <w:proofErr w:type="spellStart"/>
      <w:r>
        <w:rPr>
          <w:rFonts w:ascii="Times New Roman" w:hAnsi="Times New Roman" w:cs="Times New Roman"/>
          <w:sz w:val="28"/>
          <w:szCs w:val="28"/>
        </w:rPr>
        <w:t>Чернышов</w:t>
      </w:r>
      <w:proofErr w:type="spellEnd"/>
      <w:r>
        <w:rPr>
          <w:rFonts w:ascii="Times New Roman" w:hAnsi="Times New Roman" w:cs="Times New Roman"/>
          <w:sz w:val="28"/>
          <w:szCs w:val="28"/>
        </w:rPr>
        <w:t xml:space="preserve"> Е.В.)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eastAsia="Times New Roman" w:hAnsi="Times New Roman" w:cs="Times New Roman"/>
          <w:bCs/>
          <w:sz w:val="28"/>
          <w:szCs w:val="28"/>
          <w:lang w:eastAsia="ru-RU"/>
        </w:rPr>
        <w:t>Туапсинского городского поселения Туапсинского района.</w:t>
      </w:r>
    </w:p>
    <w:p w:rsidR="00DD009A" w:rsidRDefault="00DD009A" w:rsidP="00DD009A">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Pr>
          <w:rFonts w:ascii="Times New Roman" w:hAnsi="Times New Roman" w:cs="Times New Roman"/>
          <w:sz w:val="28"/>
          <w:szCs w:val="28"/>
        </w:rPr>
        <w:t>Чусова</w:t>
      </w:r>
      <w:proofErr w:type="spellEnd"/>
      <w:r>
        <w:rPr>
          <w:rFonts w:ascii="Times New Roman" w:hAnsi="Times New Roman" w:cs="Times New Roman"/>
          <w:sz w:val="28"/>
          <w:szCs w:val="28"/>
        </w:rPr>
        <w:t xml:space="preserve"> А.И.</w:t>
      </w: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Постановление вступает в силу со дня его  обнародования.</w:t>
      </w: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color w:val="000000"/>
          <w:sz w:val="28"/>
          <w:szCs w:val="28"/>
          <w:lang w:eastAsia="ru-RU"/>
        </w:rPr>
      </w:pP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color w:val="000000"/>
          <w:sz w:val="28"/>
          <w:szCs w:val="28"/>
          <w:lang w:eastAsia="ru-RU"/>
        </w:rPr>
      </w:pP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color w:val="000000"/>
          <w:sz w:val="28"/>
          <w:szCs w:val="28"/>
          <w:lang w:eastAsia="ru-RU"/>
        </w:rPr>
      </w:pPr>
    </w:p>
    <w:p w:rsidR="00DD009A" w:rsidRDefault="00DD009A" w:rsidP="00DD009A">
      <w:pPr>
        <w:autoSpaceDE w:val="0"/>
        <w:autoSpaceDN w:val="0"/>
        <w:adjustRightInd w:val="0"/>
        <w:spacing w:after="0" w:line="20" w:lineRule="atLeast"/>
        <w:ind w:firstLine="709"/>
        <w:jc w:val="both"/>
        <w:rPr>
          <w:rFonts w:ascii="Times New Roman" w:eastAsia="Times New Roman" w:hAnsi="Times New Roman" w:cs="Times New Roman"/>
          <w:color w:val="000000"/>
          <w:sz w:val="28"/>
          <w:szCs w:val="28"/>
          <w:lang w:eastAsia="ru-RU"/>
        </w:rPr>
      </w:pPr>
    </w:p>
    <w:p w:rsidR="00DD009A" w:rsidRDefault="00DD009A" w:rsidP="00DD009A">
      <w:pPr>
        <w:spacing w:after="0" w:line="20" w:lineRule="atLeast"/>
        <w:ind w:firstLine="142"/>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DD009A" w:rsidRDefault="00DD009A" w:rsidP="00DD009A">
      <w:pPr>
        <w:spacing w:after="0" w:line="20" w:lineRule="atLeast"/>
        <w:ind w:firstLine="142"/>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DD009A" w:rsidRDefault="00DD009A" w:rsidP="00DD009A">
      <w:pPr>
        <w:spacing w:after="0" w:line="20" w:lineRule="atLeast"/>
        <w:ind w:firstLine="142"/>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w:t>
      </w:r>
      <w:proofErr w:type="spellStart"/>
      <w:r>
        <w:rPr>
          <w:rFonts w:ascii="Times New Roman" w:hAnsi="Times New Roman" w:cs="Times New Roman"/>
          <w:sz w:val="28"/>
          <w:szCs w:val="28"/>
        </w:rPr>
        <w:t>С.В.Бондаренко</w:t>
      </w:r>
      <w:proofErr w:type="spellEnd"/>
    </w:p>
    <w:p w:rsidR="00DD009A" w:rsidRDefault="00DD009A" w:rsidP="00DD009A">
      <w:pPr>
        <w:autoSpaceDE w:val="0"/>
        <w:autoSpaceDN w:val="0"/>
        <w:adjustRightInd w:val="0"/>
        <w:spacing w:after="0" w:line="20" w:lineRule="atLeast"/>
        <w:ind w:firstLine="142"/>
        <w:jc w:val="both"/>
        <w:rPr>
          <w:rFonts w:ascii="Times New Roman" w:hAnsi="Times New Roman" w:cs="Times New Roman"/>
          <w:i/>
          <w:sz w:val="28"/>
          <w:szCs w:val="28"/>
        </w:rPr>
      </w:pPr>
    </w:p>
    <w:p w:rsidR="00DD009A" w:rsidRDefault="00DD009A" w:rsidP="00DD009A">
      <w:pPr>
        <w:autoSpaceDE w:val="0"/>
        <w:autoSpaceDN w:val="0"/>
        <w:adjustRightInd w:val="0"/>
        <w:spacing w:after="0" w:line="20" w:lineRule="atLeast"/>
        <w:ind w:firstLine="142"/>
        <w:jc w:val="both"/>
        <w:rPr>
          <w:rFonts w:ascii="Times New Roman" w:hAnsi="Times New Roman" w:cs="Times New Roman"/>
          <w:i/>
          <w:sz w:val="28"/>
          <w:szCs w:val="28"/>
        </w:rPr>
      </w:pPr>
    </w:p>
    <w:p w:rsidR="00710017" w:rsidRDefault="00710017"/>
    <w:p w:rsidR="00A35209" w:rsidRDefault="00A35209"/>
    <w:p w:rsidR="00A35209" w:rsidRDefault="00A35209"/>
    <w:p w:rsidR="00A35209" w:rsidRDefault="00A35209"/>
    <w:p w:rsidR="00A35209" w:rsidRDefault="00A35209"/>
    <w:p w:rsidR="00A35209" w:rsidRDefault="00A35209"/>
    <w:p w:rsidR="00A35209" w:rsidRDefault="00A35209"/>
    <w:p w:rsidR="00A35209" w:rsidRDefault="00A35209"/>
    <w:p w:rsidR="00A35209" w:rsidRDefault="00A35209"/>
    <w:p w:rsidR="00A35209" w:rsidRDefault="00A35209"/>
    <w:p w:rsidR="00A35209" w:rsidRDefault="00A35209"/>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35209" w:rsidTr="00A35209">
        <w:trPr>
          <w:trHeight w:val="2127"/>
        </w:trPr>
        <w:tc>
          <w:tcPr>
            <w:tcW w:w="4927" w:type="dxa"/>
            <w:hideMark/>
          </w:tcPr>
          <w:p w:rsidR="00A35209" w:rsidRDefault="00A35209" w:rsidP="00A35209">
            <w:pPr>
              <w:pStyle w:val="ConsPlusNormal"/>
              <w:jc w:val="lef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w:t>
            </w:r>
          </w:p>
          <w:p w:rsidR="00A35209" w:rsidRDefault="00A35209" w:rsidP="00A35209">
            <w:pPr>
              <w:pStyle w:val="ConsPlusNormal"/>
              <w:jc w:val="left"/>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к постановлению администрации</w:t>
            </w:r>
            <w:r>
              <w:rPr>
                <w:rFonts w:ascii="Times New Roman" w:eastAsiaTheme="minorHAnsi" w:hAnsi="Times New Roman" w:cs="Times New Roman"/>
                <w:sz w:val="28"/>
                <w:szCs w:val="28"/>
                <w:lang w:eastAsia="en-US"/>
              </w:rPr>
              <w:t xml:space="preserve"> Туапсинского городского поселения Туапсинского района</w:t>
            </w:r>
          </w:p>
          <w:p w:rsidR="00A35209" w:rsidRDefault="00A35209" w:rsidP="00A35209">
            <w:pPr>
              <w:pStyle w:val="ConsPlusNormal"/>
              <w:jc w:val="left"/>
              <w:rPr>
                <w:rFonts w:ascii="Times New Roman" w:hAnsi="Times New Roman" w:cs="Times New Roman"/>
                <w:lang w:eastAsia="en-US"/>
              </w:rPr>
            </w:pPr>
            <w:r>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10.11.</w:t>
            </w:r>
            <w:r>
              <w:rPr>
                <w:rFonts w:ascii="Times New Roman" w:hAnsi="Times New Roman" w:cs="Times New Roman"/>
                <w:sz w:val="28"/>
                <w:szCs w:val="28"/>
                <w:lang w:eastAsia="en-US"/>
              </w:rPr>
              <w:t>2021 г.</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FE1E91">
              <w:rPr>
                <w:rFonts w:ascii="Times New Roman" w:hAnsi="Times New Roman" w:cs="Times New Roman"/>
                <w:sz w:val="28"/>
                <w:szCs w:val="28"/>
                <w:lang w:eastAsia="en-US"/>
              </w:rPr>
              <w:t>989</w:t>
            </w:r>
          </w:p>
        </w:tc>
      </w:tr>
    </w:tbl>
    <w:p w:rsidR="00A35209" w:rsidRDefault="00A35209" w:rsidP="00A35209">
      <w:pPr>
        <w:pStyle w:val="ConsPlusNormal"/>
        <w:jc w:val="both"/>
        <w:rPr>
          <w:rFonts w:ascii="Times New Roman" w:hAnsi="Times New Roman" w:cs="Times New Roman"/>
        </w:rPr>
      </w:pPr>
    </w:p>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Исходное значение размера вреда, причиняемого транспортными средствами при превышении допустимых осевых нагрузок для автомобильной дороги на 2 процента, и постоянные коэффициенты</w:t>
      </w:r>
    </w:p>
    <w:p w:rsidR="00A35209" w:rsidRDefault="00A35209" w:rsidP="00A3520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для муниципальных автомобильных дорог</w:t>
      </w:r>
    </w:p>
    <w:p w:rsidR="00A35209" w:rsidRDefault="00A35209" w:rsidP="00A3520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3"/>
        <w:gridCol w:w="1984"/>
        <w:gridCol w:w="1675"/>
        <w:gridCol w:w="1757"/>
      </w:tblGrid>
      <w:tr w:rsidR="00A35209" w:rsidTr="00A35209">
        <w:tc>
          <w:tcPr>
            <w:tcW w:w="3293" w:type="dxa"/>
            <w:vMerge w:val="restart"/>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Нормативная нагрузка на ось транспортного средства для автомобильной дороги, тс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Р</w:t>
            </w:r>
            <w:r>
              <w:rPr>
                <w:rFonts w:ascii="Times New Roman" w:hAnsi="Times New Roman" w:cs="Times New Roman"/>
                <w:sz w:val="28"/>
                <w:szCs w:val="28"/>
                <w:vertAlign w:val="subscript"/>
                <w:lang w:eastAsia="en-US"/>
              </w:rPr>
              <w:t>исх</w:t>
            </w:r>
            <w:proofErr w:type="gramStart"/>
            <w:r>
              <w:rPr>
                <w:rFonts w:ascii="Times New Roman" w:hAnsi="Times New Roman" w:cs="Times New Roman"/>
                <w:sz w:val="28"/>
                <w:szCs w:val="28"/>
                <w:vertAlign w:val="subscript"/>
                <w:lang w:eastAsia="en-US"/>
              </w:rPr>
              <w:t>.о</w:t>
            </w:r>
            <w:proofErr w:type="gramEnd"/>
            <w:r>
              <w:rPr>
                <w:rFonts w:ascii="Times New Roman" w:hAnsi="Times New Roman" w:cs="Times New Roman"/>
                <w:sz w:val="28"/>
                <w:szCs w:val="28"/>
                <w:vertAlign w:val="subscript"/>
                <w:lang w:eastAsia="en-US"/>
              </w:rPr>
              <w:t>сь</w:t>
            </w:r>
            <w:proofErr w:type="spellEnd"/>
            <w:r>
              <w:rPr>
                <w:rFonts w:ascii="Times New Roman" w:hAnsi="Times New Roman" w:cs="Times New Roman"/>
                <w:sz w:val="28"/>
                <w:szCs w:val="28"/>
                <w:lang w:eastAsia="en-US"/>
              </w:rPr>
              <w:t>,</w:t>
            </w:r>
          </w:p>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руб./100 км</w:t>
            </w:r>
          </w:p>
        </w:tc>
        <w:tc>
          <w:tcPr>
            <w:tcW w:w="3432" w:type="dxa"/>
            <w:gridSpan w:val="2"/>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Постоянные коэффициенты</w:t>
            </w:r>
          </w:p>
        </w:tc>
      </w:tr>
      <w:tr w:rsidR="00A35209" w:rsidTr="00A35209">
        <w:tc>
          <w:tcPr>
            <w:tcW w:w="3293" w:type="dxa"/>
            <w:vMerge/>
            <w:tcBorders>
              <w:top w:val="single" w:sz="4" w:space="0" w:color="auto"/>
              <w:left w:val="single" w:sz="4" w:space="0" w:color="auto"/>
              <w:bottom w:val="single" w:sz="4" w:space="0" w:color="auto"/>
              <w:right w:val="single" w:sz="4" w:space="0" w:color="auto"/>
            </w:tcBorders>
            <w:vAlign w:val="center"/>
            <w:hideMark/>
          </w:tcPr>
          <w:p w:rsidR="00A35209" w:rsidRDefault="00A35209">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35209" w:rsidRDefault="00A35209">
            <w:pPr>
              <w:spacing w:after="0" w:line="240" w:lineRule="auto"/>
              <w:rPr>
                <w:rFonts w:ascii="Times New Roman" w:eastAsia="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a</w:t>
            </w:r>
          </w:p>
        </w:tc>
        <w:tc>
          <w:tcPr>
            <w:tcW w:w="1757"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b</w:t>
            </w:r>
          </w:p>
        </w:tc>
      </w:tr>
      <w:tr w:rsidR="00A35209" w:rsidTr="00A35209">
        <w:tc>
          <w:tcPr>
            <w:tcW w:w="3293"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8500</w:t>
            </w:r>
          </w:p>
        </w:tc>
        <w:tc>
          <w:tcPr>
            <w:tcW w:w="1675"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7,3</w:t>
            </w:r>
          </w:p>
        </w:tc>
        <w:tc>
          <w:tcPr>
            <w:tcW w:w="1757"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0,27</w:t>
            </w:r>
          </w:p>
        </w:tc>
      </w:tr>
      <w:tr w:rsidR="00A35209" w:rsidTr="00A35209">
        <w:tc>
          <w:tcPr>
            <w:tcW w:w="3293"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1840</w:t>
            </w:r>
          </w:p>
        </w:tc>
        <w:tc>
          <w:tcPr>
            <w:tcW w:w="1675"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37,7</w:t>
            </w:r>
          </w:p>
        </w:tc>
        <w:tc>
          <w:tcPr>
            <w:tcW w:w="1757"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r>
      <w:tr w:rsidR="00A35209" w:rsidTr="00A35209">
        <w:tc>
          <w:tcPr>
            <w:tcW w:w="3293"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11,5</w:t>
            </w:r>
          </w:p>
        </w:tc>
        <w:tc>
          <w:tcPr>
            <w:tcW w:w="1984"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840</w:t>
            </w:r>
          </w:p>
        </w:tc>
        <w:tc>
          <w:tcPr>
            <w:tcW w:w="1675"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39,5</w:t>
            </w:r>
          </w:p>
        </w:tc>
        <w:tc>
          <w:tcPr>
            <w:tcW w:w="1757" w:type="dxa"/>
            <w:tcBorders>
              <w:top w:val="single" w:sz="4" w:space="0" w:color="auto"/>
              <w:left w:val="single" w:sz="4" w:space="0" w:color="auto"/>
              <w:bottom w:val="single" w:sz="4" w:space="0" w:color="auto"/>
              <w:right w:val="single" w:sz="4" w:space="0" w:color="auto"/>
            </w:tcBorders>
            <w:hideMark/>
          </w:tcPr>
          <w:p w:rsidR="00A35209" w:rsidRDefault="00A35209">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r>
    </w:tbl>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Normal"/>
        <w:jc w:val="both"/>
      </w:pPr>
    </w:p>
    <w:p w:rsidR="00A35209" w:rsidRDefault="00A35209" w:rsidP="00A352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A35209" w:rsidRDefault="00A35209" w:rsidP="00A352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жилищно-коммунального </w:t>
      </w:r>
    </w:p>
    <w:p w:rsidR="00A35209" w:rsidRDefault="00A35209" w:rsidP="00A352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w:t>
      </w:r>
    </w:p>
    <w:p w:rsidR="00A35209" w:rsidRDefault="00A35209" w:rsidP="00A35209">
      <w:pPr>
        <w:pStyle w:val="ConsPlusNormal"/>
        <w:jc w:val="both"/>
        <w:rPr>
          <w:rFonts w:ascii="Times New Roman" w:hAnsi="Times New Roman" w:cs="Times New Roman"/>
          <w:sz w:val="28"/>
          <w:szCs w:val="28"/>
        </w:rPr>
      </w:pPr>
      <w:r>
        <w:rPr>
          <w:rFonts w:ascii="Times New Roman" w:hAnsi="Times New Roman" w:cs="Times New Roman"/>
          <w:sz w:val="28"/>
          <w:szCs w:val="28"/>
        </w:rPr>
        <w:t>Туапсинского</w:t>
      </w:r>
      <w:r>
        <w:rPr>
          <w:rFonts w:ascii="Times New Roman" w:hAnsi="Times New Roman" w:cs="Times New Roman"/>
          <w:b/>
          <w:sz w:val="28"/>
          <w:szCs w:val="28"/>
        </w:rPr>
        <w:t xml:space="preserve"> </w:t>
      </w:r>
      <w:r>
        <w:rPr>
          <w:rFonts w:ascii="Times New Roman" w:hAnsi="Times New Roman" w:cs="Times New Roman"/>
          <w:sz w:val="28"/>
          <w:szCs w:val="28"/>
        </w:rPr>
        <w:t xml:space="preserve">городского </w:t>
      </w:r>
    </w:p>
    <w:p w:rsidR="00A35209" w:rsidRDefault="00A35209" w:rsidP="00A3520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Туапсинского района                                           </w:t>
      </w:r>
      <w:proofErr w:type="spellStart"/>
      <w:r>
        <w:rPr>
          <w:rFonts w:ascii="Times New Roman" w:hAnsi="Times New Roman" w:cs="Times New Roman"/>
          <w:sz w:val="28"/>
          <w:szCs w:val="28"/>
        </w:rPr>
        <w:t>Е.В.Чернышов</w:t>
      </w:r>
      <w:proofErr w:type="spellEnd"/>
    </w:p>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Normal"/>
        <w:jc w:val="both"/>
        <w:rPr>
          <w:rFonts w:ascii="Times New Roman" w:hAnsi="Times New Roman" w:cs="Times New Roman"/>
          <w:sz w:val="28"/>
          <w:szCs w:val="28"/>
        </w:rPr>
      </w:pPr>
    </w:p>
    <w:p w:rsidR="00A35209" w:rsidRDefault="00A35209" w:rsidP="00A35209">
      <w:pPr>
        <w:pStyle w:val="ConsPlusNormal"/>
        <w:jc w:val="both"/>
        <w:rPr>
          <w:rFonts w:ascii="Times New Roman" w:hAnsi="Times New Roman" w:cs="Times New Roman"/>
          <w:sz w:val="28"/>
          <w:szCs w:val="28"/>
        </w:rPr>
      </w:pPr>
    </w:p>
    <w:p w:rsidR="00A35209" w:rsidRDefault="00A35209"/>
    <w:sectPr w:rsidR="00A35209" w:rsidSect="00DD00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87"/>
    <w:rsid w:val="00710017"/>
    <w:rsid w:val="007F4A87"/>
    <w:rsid w:val="00A35209"/>
    <w:rsid w:val="00D82DF3"/>
    <w:rsid w:val="00DD009A"/>
    <w:rsid w:val="00FE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9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09A"/>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DD009A"/>
    <w:pPr>
      <w:widowControl w:val="0"/>
      <w:autoSpaceDE w:val="0"/>
      <w:autoSpaceDN w:val="0"/>
    </w:pPr>
    <w:rPr>
      <w:rFonts w:ascii="Calibri" w:eastAsia="Times New Roman" w:hAnsi="Calibri" w:cs="Calibri"/>
      <w:b/>
      <w:sz w:val="22"/>
      <w:szCs w:val="20"/>
      <w:lang w:eastAsia="ru-RU"/>
    </w:rPr>
  </w:style>
  <w:style w:type="table" w:styleId="a3">
    <w:name w:val="Table Grid"/>
    <w:basedOn w:val="a1"/>
    <w:uiPriority w:val="59"/>
    <w:rsid w:val="00DD009A"/>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D009A"/>
    <w:rPr>
      <w:color w:val="0000FF"/>
      <w:u w:val="single"/>
    </w:rPr>
  </w:style>
  <w:style w:type="paragraph" w:styleId="a5">
    <w:name w:val="Balloon Text"/>
    <w:basedOn w:val="a"/>
    <w:link w:val="a6"/>
    <w:uiPriority w:val="99"/>
    <w:semiHidden/>
    <w:unhideWhenUsed/>
    <w:rsid w:val="00DD00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9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09A"/>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DD009A"/>
    <w:pPr>
      <w:widowControl w:val="0"/>
      <w:autoSpaceDE w:val="0"/>
      <w:autoSpaceDN w:val="0"/>
    </w:pPr>
    <w:rPr>
      <w:rFonts w:ascii="Calibri" w:eastAsia="Times New Roman" w:hAnsi="Calibri" w:cs="Calibri"/>
      <w:b/>
      <w:sz w:val="22"/>
      <w:szCs w:val="20"/>
      <w:lang w:eastAsia="ru-RU"/>
    </w:rPr>
  </w:style>
  <w:style w:type="table" w:styleId="a3">
    <w:name w:val="Table Grid"/>
    <w:basedOn w:val="a1"/>
    <w:uiPriority w:val="59"/>
    <w:rsid w:val="00DD009A"/>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DD009A"/>
    <w:rPr>
      <w:color w:val="0000FF"/>
      <w:u w:val="single"/>
    </w:rPr>
  </w:style>
  <w:style w:type="paragraph" w:styleId="a5">
    <w:name w:val="Balloon Text"/>
    <w:basedOn w:val="a"/>
    <w:link w:val="a6"/>
    <w:uiPriority w:val="99"/>
    <w:semiHidden/>
    <w:unhideWhenUsed/>
    <w:rsid w:val="00DD00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1111">
      <w:bodyDiv w:val="1"/>
      <w:marLeft w:val="0"/>
      <w:marRight w:val="0"/>
      <w:marTop w:val="0"/>
      <w:marBottom w:val="0"/>
      <w:divBdr>
        <w:top w:val="none" w:sz="0" w:space="0" w:color="auto"/>
        <w:left w:val="none" w:sz="0" w:space="0" w:color="auto"/>
        <w:bottom w:val="none" w:sz="0" w:space="0" w:color="auto"/>
        <w:right w:val="none" w:sz="0" w:space="0" w:color="auto"/>
      </w:divBdr>
    </w:div>
    <w:div w:id="889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C9E2A619D258A30CD90FC68D8ABE63D0CC935E1E3736BFA380C6AC5642530E471AD2BB3B924412FA881F6DABCg5H" TargetMode="External"/><Relationship Id="rId3" Type="http://schemas.openxmlformats.org/officeDocument/2006/relationships/settings" Target="settings.xml"/><Relationship Id="rId7" Type="http://schemas.openxmlformats.org/officeDocument/2006/relationships/hyperlink" Target="consultantplus://offline/ref=8F5C9E2A619D258A30CD90FC68D8ABE63D0DC932E3E1736BFA380C6AC5642530F671F52FB2BB6E116BE38EF7D1DA0D00A0027D3EB8g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5C9E2A619D258A30CD90FC68D8ABE63D02C632E3EB736BFA380C6AC5642530E471AD2BB3B924412FA881F6DABCg5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76806163F3361A5623FB93D3AD87DD1FD6EDD1C7DC8520A84DBCE640F9E1A41764DF0A60C637493294A86A94BR9gCH" TargetMode="External"/><Relationship Id="rId4" Type="http://schemas.openxmlformats.org/officeDocument/2006/relationships/webSettings" Target="webSettings.xml"/><Relationship Id="rId9" Type="http://schemas.openxmlformats.org/officeDocument/2006/relationships/hyperlink" Target="consultantplus://offline/ref=676806163F3361A5623FA7302CB422DBF96385127FC85E5BDC8EC83350CE1C14240DAEFF4E2E6793295484AB40966F9EF8E4CF55BE25143B02572CB4R1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2021-11-11T06:46:00Z</dcterms:created>
  <dcterms:modified xsi:type="dcterms:W3CDTF">2021-11-11T06:50:00Z</dcterms:modified>
</cp:coreProperties>
</file>